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  <w:gridCol w:w="4786"/>
      </w:tblGrid>
      <w:tr w:rsidR="005B6007" w:rsidTr="004153B3">
        <w:tc>
          <w:tcPr>
            <w:tcW w:w="4785" w:type="dxa"/>
          </w:tcPr>
          <w:p w:rsidR="005B6007" w:rsidRDefault="005B6007" w:rsidP="00415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5B6007" w:rsidRDefault="005B6007" w:rsidP="00415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B6007" w:rsidRDefault="005B6007" w:rsidP="004153B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 программе </w:t>
            </w:r>
            <w:proofErr w:type="spellStart"/>
            <w:r w:rsidR="00863D79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863D7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«Культура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  <w:tc>
          <w:tcPr>
            <w:tcW w:w="4786" w:type="dxa"/>
          </w:tcPr>
          <w:p w:rsidR="005B6007" w:rsidRDefault="005B6007" w:rsidP="00415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6007" w:rsidRDefault="005B6007" w:rsidP="005B600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Pr="00D46196" w:rsidRDefault="005B6007" w:rsidP="00863D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96">
        <w:rPr>
          <w:rFonts w:ascii="Times New Roman" w:hAnsi="Times New Roman" w:cs="Times New Roman"/>
          <w:b/>
          <w:sz w:val="28"/>
          <w:szCs w:val="28"/>
        </w:rPr>
        <w:t xml:space="preserve">Подпрограмма  «Дополнительное образование детей </w:t>
      </w:r>
      <w:proofErr w:type="spellStart"/>
      <w:r w:rsidRPr="00D46196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D4619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3312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proofErr w:type="spellStart"/>
      <w:r w:rsidR="00863D79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863D7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5B6007" w:rsidRPr="00D46196" w:rsidRDefault="005B6007" w:rsidP="005B6007">
      <w:pPr>
        <w:jc w:val="center"/>
        <w:rPr>
          <w:rFonts w:ascii="Times New Roman" w:hAnsi="Times New Roman" w:cs="Times New Roman"/>
        </w:rPr>
      </w:pPr>
    </w:p>
    <w:p w:rsidR="005B6007" w:rsidRPr="007A1C2F" w:rsidRDefault="005B6007" w:rsidP="005B60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96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подпрограммы«Дополнительное образование детей </w:t>
      </w:r>
      <w:proofErr w:type="spellStart"/>
      <w:r w:rsidRPr="00D46196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D4619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3312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proofErr w:type="spellStart"/>
      <w:r w:rsidR="00863D79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863D7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5B6007" w:rsidRPr="00D46196" w:rsidRDefault="005B6007" w:rsidP="005B60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Pr="00D46196" w:rsidRDefault="005B6007" w:rsidP="005B600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D851D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«Дополнительное образование детей </w:t>
            </w:r>
            <w:proofErr w:type="spellStart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  <w:r w:rsidR="00D851D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  <w:p w:rsidR="005B6007" w:rsidRPr="00D46196" w:rsidRDefault="005B6007" w:rsidP="004153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D851DC" w:rsidRPr="00D46196" w:rsidTr="004153B3">
        <w:tc>
          <w:tcPr>
            <w:tcW w:w="3085" w:type="dxa"/>
          </w:tcPr>
          <w:p w:rsidR="00D851DC" w:rsidRPr="00D46196" w:rsidRDefault="00D851DC" w:rsidP="00AF7C2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Соисполнители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486" w:type="dxa"/>
          </w:tcPr>
          <w:p w:rsidR="00D851DC" w:rsidRPr="00D46196" w:rsidRDefault="00D851DC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B6007" w:rsidRPr="00D46196" w:rsidTr="004153B3">
        <w:tc>
          <w:tcPr>
            <w:tcW w:w="3085" w:type="dxa"/>
          </w:tcPr>
          <w:p w:rsidR="00D851DC" w:rsidRDefault="00D851DC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5B6007" w:rsidRPr="00D46196" w:rsidRDefault="00AF7C2C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5B6007"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D851DC" w:rsidRDefault="00D851DC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007" w:rsidRPr="00D46196" w:rsidRDefault="005B6007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Удовлетворение образовательных потребностей граждан в области музыкального образования и художественного воспитания. </w:t>
            </w: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AF7C2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5B6007" w:rsidRPr="00D46196" w:rsidRDefault="005B6007" w:rsidP="004153B3">
            <w:pPr>
              <w:pStyle w:val="a4"/>
              <w:ind w:firstLine="0"/>
              <w:rPr>
                <w:sz w:val="28"/>
                <w:szCs w:val="28"/>
              </w:rPr>
            </w:pPr>
            <w:r w:rsidRPr="00D46196">
              <w:rPr>
                <w:sz w:val="28"/>
                <w:szCs w:val="28"/>
              </w:rPr>
              <w:t>1. Подготовка учащихся для поступления в средние профессиональные образовательные учреждения культуры.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2.Выявление музыкально одаренных детей и создание наиболее благоприятных условий для совершенствования их таланта.</w:t>
            </w: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Целевые индикаторы и показатели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pStyle w:val="a4"/>
              <w:ind w:firstLine="0"/>
              <w:rPr>
                <w:sz w:val="28"/>
                <w:szCs w:val="28"/>
              </w:rPr>
            </w:pPr>
            <w:r w:rsidRPr="00D46196">
              <w:rPr>
                <w:sz w:val="28"/>
                <w:szCs w:val="28"/>
              </w:rPr>
              <w:lastRenderedPageBreak/>
              <w:t>1.Контингент учащихся.</w:t>
            </w: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Объёмы                      и источники             финансирования </w:t>
            </w:r>
          </w:p>
          <w:p w:rsidR="005B6007" w:rsidRPr="00D46196" w:rsidRDefault="00AF7C2C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5B6007"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 подпрограммы з в 201</w:t>
            </w:r>
            <w:r w:rsidR="00ED7A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-2016 годах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  <w:r w:rsidR="00BF13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1,01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 </w:t>
            </w:r>
          </w:p>
          <w:p w:rsidR="003450A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2014 г. –</w:t>
            </w:r>
            <w:r w:rsidR="00947A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13B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947AED">
              <w:rPr>
                <w:rFonts w:ascii="Times New Roman" w:hAnsi="Times New Roman" w:cs="Times New Roman"/>
                <w:sz w:val="28"/>
                <w:szCs w:val="28"/>
              </w:rPr>
              <w:t>1,77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2015 г.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8999,94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4619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.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10049,3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из них;</w:t>
            </w:r>
          </w:p>
          <w:p w:rsidR="00BF13BD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-за счёт средств районного бюджета в 2013-2016 годах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D05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568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,61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2014 г.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5143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7,97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2015 г.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8486,14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4619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9535,5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за счёт средств краевого  бюджета в 201</w:t>
            </w:r>
            <w:r w:rsidR="00E501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-2016 годах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1541,4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2014 г. –513,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3450A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2015 г. –513,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5B6007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4619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. –  513,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BF13BD" w:rsidRPr="00D46196" w:rsidRDefault="00BF13BD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в 2014 году -50,0 тыс. рублей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AF7C2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конечные                 результаты  реализации          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5B6007" w:rsidRPr="00D46196" w:rsidRDefault="005B6007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1.  Сохранение контингента учащихся в количестве 206 человек.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6007" w:rsidRPr="00D46196" w:rsidRDefault="005B6007" w:rsidP="005B6007">
      <w:pPr>
        <w:rPr>
          <w:rFonts w:ascii="Times New Roman" w:hAnsi="Times New Roman" w:cs="Times New Roman"/>
          <w:sz w:val="28"/>
          <w:szCs w:val="28"/>
        </w:rPr>
      </w:pPr>
    </w:p>
    <w:p w:rsidR="005B6007" w:rsidRDefault="005B6007" w:rsidP="00134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1. Характеристика сферы реализации </w:t>
      </w:r>
      <w:r w:rsidR="00AF7C2C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</w:t>
      </w:r>
      <w:r w:rsidR="00AF7C2C">
        <w:rPr>
          <w:rFonts w:ascii="Times New Roman" w:hAnsi="Times New Roman" w:cs="Times New Roman"/>
          <w:sz w:val="28"/>
          <w:szCs w:val="28"/>
        </w:rPr>
        <w:t xml:space="preserve">, </w:t>
      </w:r>
      <w:r w:rsidR="00601DCD">
        <w:rPr>
          <w:rFonts w:ascii="Times New Roman" w:hAnsi="Times New Roman" w:cs="Times New Roman"/>
          <w:sz w:val="28"/>
          <w:szCs w:val="28"/>
        </w:rPr>
        <w:t>описание основных проблем в указанной сфере и прогноз ее развития.</w:t>
      </w:r>
    </w:p>
    <w:p w:rsidR="00134B3C" w:rsidRPr="00D46196" w:rsidRDefault="00134B3C" w:rsidP="00134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 соответствии с утвержденной «Концепцией развития образования в сфере культуры и искусства в Ставропольском крае на 2008 - 2015 годы» ДМШ определены следующие задачи:</w:t>
      </w:r>
    </w:p>
    <w:p w:rsidR="005B6007" w:rsidRPr="00D46196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выявление художественно-одаренных детей и молодежи;</w:t>
      </w:r>
    </w:p>
    <w:p w:rsidR="005B6007" w:rsidRPr="00D46196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подготовка творческих и педагогических кадров в сфере культуры и искусства;</w:t>
      </w:r>
    </w:p>
    <w:p w:rsidR="00134B3C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эстетическое воспитание подрастающего поколения.</w:t>
      </w:r>
    </w:p>
    <w:p w:rsidR="005B6007" w:rsidRPr="00D46196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Структура и содержание реализуемых программ соответствует примерным требованиям к учебным планам дополнительного образования детей, адаптированным к условиям обучению в данном учреждении. Реализация программ проводится согласно учебного плана, утвержденного педсоветом и расписанию занятий.</w:t>
      </w:r>
    </w:p>
    <w:p w:rsidR="005B6007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lastRenderedPageBreak/>
        <w:t xml:space="preserve">В школе работает штатных работников - 38, из них учебный процесс осуществляют 22 преподавателей, из них 13 имеют высшее образование, 9 средне-профессиональное. </w:t>
      </w:r>
      <w:r w:rsidRPr="00D46196">
        <w:rPr>
          <w:rFonts w:ascii="Times New Roman" w:hAnsi="Times New Roman" w:cs="Times New Roman"/>
          <w:spacing w:val="-4"/>
          <w:sz w:val="28"/>
          <w:szCs w:val="28"/>
        </w:rPr>
        <w:t xml:space="preserve">Контингент обучающихся в 2012 году составил 206 учащихся, что соответствует показателям, характеризующим качество и объем оказываемой услуги определенной в муниципальном задании учреждения. Охват услугами дополнительного образования детей в районе составляет 6%, при </w:t>
      </w:r>
      <w:proofErr w:type="spellStart"/>
      <w:r w:rsidRPr="00D46196">
        <w:rPr>
          <w:rFonts w:ascii="Times New Roman" w:hAnsi="Times New Roman" w:cs="Times New Roman"/>
          <w:spacing w:val="-4"/>
          <w:sz w:val="28"/>
          <w:szCs w:val="28"/>
        </w:rPr>
        <w:t>среднекраевом</w:t>
      </w:r>
      <w:proofErr w:type="spellEnd"/>
      <w:r w:rsidRPr="00D46196">
        <w:rPr>
          <w:rFonts w:ascii="Times New Roman" w:hAnsi="Times New Roman" w:cs="Times New Roman"/>
          <w:spacing w:val="-4"/>
          <w:sz w:val="28"/>
          <w:szCs w:val="28"/>
        </w:rPr>
        <w:t xml:space="preserve"> показателе охвата обучающихся - 10%.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80"/>
        <w:gridCol w:w="1710"/>
        <w:gridCol w:w="1590"/>
        <w:gridCol w:w="1690"/>
      </w:tblGrid>
      <w:tr w:rsidR="005B6007" w:rsidRPr="00D46196" w:rsidTr="004153B3">
        <w:tc>
          <w:tcPr>
            <w:tcW w:w="438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2010 г.</w:t>
            </w:r>
          </w:p>
        </w:tc>
        <w:tc>
          <w:tcPr>
            <w:tcW w:w="15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2011 г.</w:t>
            </w:r>
          </w:p>
        </w:tc>
        <w:tc>
          <w:tcPr>
            <w:tcW w:w="16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2012 г.</w:t>
            </w:r>
          </w:p>
        </w:tc>
      </w:tr>
      <w:tr w:rsidR="005B6007" w:rsidRPr="00D46196" w:rsidTr="004153B3">
        <w:tc>
          <w:tcPr>
            <w:tcW w:w="438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Контингент учащихся</w:t>
            </w:r>
          </w:p>
        </w:tc>
        <w:tc>
          <w:tcPr>
            <w:tcW w:w="171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217</w:t>
            </w:r>
          </w:p>
        </w:tc>
        <w:tc>
          <w:tcPr>
            <w:tcW w:w="15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206</w:t>
            </w:r>
          </w:p>
        </w:tc>
        <w:tc>
          <w:tcPr>
            <w:tcW w:w="16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206</w:t>
            </w:r>
          </w:p>
        </w:tc>
      </w:tr>
      <w:tr w:rsidR="005B6007" w:rsidRPr="00D46196" w:rsidTr="004153B3">
        <w:tc>
          <w:tcPr>
            <w:tcW w:w="438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Преподаватели</w:t>
            </w:r>
          </w:p>
        </w:tc>
        <w:tc>
          <w:tcPr>
            <w:tcW w:w="171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22</w:t>
            </w:r>
          </w:p>
        </w:tc>
        <w:tc>
          <w:tcPr>
            <w:tcW w:w="15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19</w:t>
            </w:r>
          </w:p>
        </w:tc>
        <w:tc>
          <w:tcPr>
            <w:tcW w:w="16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22</w:t>
            </w:r>
          </w:p>
        </w:tc>
      </w:tr>
    </w:tbl>
    <w:p w:rsidR="005B6007" w:rsidRPr="00D46196" w:rsidRDefault="005B6007" w:rsidP="005B60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ведется по программам в соответствии с лицензиями, обучение детей на 5 отделениях (фортепиано, народное, вокальное, хоровое, изобразительное), на сегодняшний день по 11 специальностям: фортепиано, баян, аккордеон, гитара, балалайка, эстрадный, академический вокал, народное, хоровое пение, ударные инструменты, изобразительное    искусство. В каждом выпуске прошлых лет есть выпускники, поступившие в </w:t>
      </w:r>
      <w:proofErr w:type="spellStart"/>
      <w:r w:rsidRPr="00D46196">
        <w:rPr>
          <w:rFonts w:ascii="Times New Roman" w:hAnsi="Times New Roman" w:cs="Times New Roman"/>
          <w:sz w:val="28"/>
          <w:szCs w:val="28"/>
        </w:rPr>
        <w:t>СУЗы</w:t>
      </w:r>
      <w:proofErr w:type="spellEnd"/>
      <w:r w:rsidRPr="00D46196">
        <w:rPr>
          <w:rFonts w:ascii="Times New Roman" w:hAnsi="Times New Roman" w:cs="Times New Roman"/>
          <w:sz w:val="28"/>
          <w:szCs w:val="28"/>
        </w:rPr>
        <w:t xml:space="preserve"> и ВУЗы, среди которых Ставропольский государственный университет, Ставропольский краевой колледж искусств, Ставропольское краевое художественное училище. В настоящее время 7 человек продолжают обучение по специальности.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На основании Типового положения об образовательном учреждении дополнительного образования детей и в соответствии с направленностью реализуемых программ школа проводит мероприятия с обучающимися.большинство реализуемых учреждением мероприятий направлены на культурно-просветительскую работу среди населения, способствуют формированию духовно-нравственных потребностей школьников, приобщению молодого поколения к лучшим образцам классического и народного искусства, и как правило мотивации на приобретение творческой профессии.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 течение учебного года учащиеся ДМШ приняли участие практически во всех концертах, проведенных в районе, посвященным календарным и     тематическим датам (детские сады, общеобразовательные школы, Дома культуры, отделения социального обслуживания населения).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 соответствии с Планом учебно-воспитательной работы в школе    проведено 4 районных конкурса.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Одним из основных факторов, определяющих продуктивность и        качество образования являются творческие успехи учащихся в конкурсной и выставочной деятельности. В 2012 году 22 учащихся и 3 преподавателя стали лауреатами и дипломантами.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lastRenderedPageBreak/>
        <w:t>Учреждение имеет электронную почту и сайт, на котором размещен регламент предоставления услуг дополнительного образования, учредительные документы, отчеты.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Оснащенность образовательного процесса оборудованием, инструментами, расходными материалами соответствуют уровню и направленности аккредитованных программ.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Вместе с тем, на фоне определенных успехов ряд проблем: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1) Кадровая проблема (средний возраст преподавателей 40 - 45 лет).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2) Капитальный ремонт зданий школ с. Грачевка и с. Красное.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3). Обновление материально-технической базы (приобретение школьной мебели, музыкальных инструментов и сценических костюмов).</w:t>
      </w:r>
    </w:p>
    <w:p w:rsidR="005B6007" w:rsidRPr="00D46196" w:rsidRDefault="005B6007" w:rsidP="005B60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Default="005B6007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2. Приоритеты   реализуемой политики в сфере реализации </w:t>
      </w:r>
      <w:r w:rsidR="00601DCD">
        <w:rPr>
          <w:rFonts w:ascii="Times New Roman" w:hAnsi="Times New Roman" w:cs="Times New Roman"/>
          <w:sz w:val="28"/>
          <w:szCs w:val="28"/>
        </w:rPr>
        <w:t>Подпрограммы,</w:t>
      </w:r>
      <w:r w:rsidRPr="00134B3C">
        <w:rPr>
          <w:rFonts w:ascii="Times New Roman" w:hAnsi="Times New Roman" w:cs="Times New Roman"/>
          <w:sz w:val="28"/>
          <w:szCs w:val="28"/>
        </w:rPr>
        <w:t xml:space="preserve"> цели, задачи, целевые индикаторы и показатели </w:t>
      </w:r>
      <w:r w:rsidR="00601DCD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 xml:space="preserve">одпрограммы, описание ожидаемых конечных результатов </w:t>
      </w:r>
      <w:r w:rsidR="00601DCD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 и сроки ее реализации.</w:t>
      </w:r>
    </w:p>
    <w:p w:rsidR="00134B3C" w:rsidRPr="00134B3C" w:rsidRDefault="00134B3C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007" w:rsidRPr="00D46196" w:rsidRDefault="005B6007" w:rsidP="005B600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1. Цель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D46196">
        <w:rPr>
          <w:rFonts w:ascii="Times New Roman" w:hAnsi="Times New Roman" w:cs="Times New Roman"/>
          <w:sz w:val="28"/>
          <w:szCs w:val="28"/>
        </w:rPr>
        <w:t>одпрограммы: Удовлетворение образовательных потребностей граждан в области музыкального образования и художественного воспитания.</w:t>
      </w:r>
    </w:p>
    <w:p w:rsidR="005B6007" w:rsidRPr="00D46196" w:rsidRDefault="005B6007" w:rsidP="005B600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2. Задачами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D46196">
        <w:rPr>
          <w:rFonts w:ascii="Times New Roman" w:hAnsi="Times New Roman" w:cs="Times New Roman"/>
          <w:sz w:val="28"/>
          <w:szCs w:val="28"/>
        </w:rPr>
        <w:t>одпрограммы являются:</w:t>
      </w:r>
    </w:p>
    <w:p w:rsidR="005B6007" w:rsidRPr="00D46196" w:rsidRDefault="005B6007" w:rsidP="005B6007">
      <w:pPr>
        <w:pStyle w:val="a4"/>
        <w:ind w:firstLine="0"/>
        <w:rPr>
          <w:sz w:val="28"/>
          <w:szCs w:val="28"/>
        </w:rPr>
      </w:pPr>
      <w:r w:rsidRPr="00D46196">
        <w:rPr>
          <w:sz w:val="28"/>
          <w:szCs w:val="28"/>
        </w:rPr>
        <w:t>- подготовка учащихся для поступления в средние профессиональные образовательные учреждения культуры.</w:t>
      </w:r>
    </w:p>
    <w:p w:rsidR="005B6007" w:rsidRDefault="005B6007" w:rsidP="005B600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выявление музыкально одаренных детей и создание наиболее благоприятных условий для совершенствования их таланта.</w:t>
      </w:r>
    </w:p>
    <w:p w:rsidR="005B6007" w:rsidRPr="002C1BD6" w:rsidRDefault="005B6007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D6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№1 к муниципальной программе </w:t>
      </w:r>
      <w:proofErr w:type="spellStart"/>
      <w:r w:rsidR="00A34CD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34CD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5B6007" w:rsidRDefault="005B6007" w:rsidP="005B600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007" w:rsidRPr="00134B3C" w:rsidRDefault="005B6007" w:rsidP="005B600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3.Характеристика основных мероприятий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</w:t>
      </w:r>
      <w:r w:rsidR="00A34CD8">
        <w:rPr>
          <w:rFonts w:ascii="Times New Roman" w:hAnsi="Times New Roman" w:cs="Times New Roman"/>
          <w:sz w:val="28"/>
          <w:szCs w:val="28"/>
        </w:rPr>
        <w:t>.</w:t>
      </w:r>
    </w:p>
    <w:p w:rsidR="00A34CD8" w:rsidRDefault="005B6007" w:rsidP="005B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Основным мероприятием Подпрограммы  является обеспечение деятельности (оказание услуг) учреждений по внешкольной работе с детьми, которое включает в себя удовлетворение образовательных потребностей граждан в области музыкального образования и художественного воспитания.</w:t>
      </w:r>
    </w:p>
    <w:p w:rsidR="005B6007" w:rsidRDefault="005B6007" w:rsidP="005B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DC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6206DC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06DC">
        <w:rPr>
          <w:rFonts w:ascii="Times New Roman" w:hAnsi="Times New Roman" w:cs="Times New Roman"/>
          <w:sz w:val="28"/>
          <w:szCs w:val="28"/>
        </w:rPr>
        <w:t xml:space="preserve">  с указанием сроков их реализации и ожидаемых результатов приведен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06DC">
        <w:rPr>
          <w:rFonts w:ascii="Times New Roman" w:hAnsi="Times New Roman" w:cs="Times New Roman"/>
          <w:sz w:val="28"/>
          <w:szCs w:val="28"/>
        </w:rPr>
        <w:t xml:space="preserve"> к </w:t>
      </w:r>
      <w:r w:rsidR="00A34CD8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A34CD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34CD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A34CD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34CD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</w:t>
      </w:r>
      <w:r w:rsidRPr="006206DC">
        <w:rPr>
          <w:rFonts w:ascii="Times New Roman" w:hAnsi="Times New Roman" w:cs="Times New Roman"/>
          <w:sz w:val="28"/>
          <w:szCs w:val="28"/>
        </w:rPr>
        <w:t>.</w:t>
      </w:r>
    </w:p>
    <w:p w:rsidR="005B6007" w:rsidRPr="00D46196" w:rsidRDefault="005B6007" w:rsidP="005B60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6007" w:rsidRPr="00134B3C" w:rsidRDefault="005B6007" w:rsidP="005B600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lastRenderedPageBreak/>
        <w:t xml:space="preserve">Раздел 4. Информация об участии муниципальных образований, муниципальных унитарных предприятий, общественных, и иных организаций в реализации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5B6007" w:rsidRDefault="005B6007" w:rsidP="00A72E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ab/>
      </w:r>
      <w:r w:rsidRPr="00D34801">
        <w:rPr>
          <w:rFonts w:ascii="Times New Roman" w:hAnsi="Times New Roman" w:cs="Times New Roman"/>
          <w:sz w:val="28"/>
          <w:szCs w:val="28"/>
        </w:rPr>
        <w:t xml:space="preserve">Участие муниципальных образований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внебюджетных фондов, муниципальных унитарных предприятий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и иных организаций в реализации </w:t>
      </w:r>
      <w:proofErr w:type="spellStart"/>
      <w:r w:rsidR="00A72EEA">
        <w:rPr>
          <w:rFonts w:ascii="Times New Roman" w:hAnsi="Times New Roman" w:cs="Times New Roman"/>
          <w:sz w:val="28"/>
          <w:szCs w:val="28"/>
        </w:rPr>
        <w:t>Под</w:t>
      </w:r>
      <w:r w:rsidRPr="00D34801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не предусмотрено</w:t>
      </w:r>
      <w:r w:rsidR="00A72EEA">
        <w:rPr>
          <w:rFonts w:ascii="Times New Roman" w:hAnsi="Times New Roman" w:cs="Times New Roman"/>
          <w:sz w:val="28"/>
          <w:szCs w:val="28"/>
        </w:rPr>
        <w:t>.</w:t>
      </w:r>
    </w:p>
    <w:p w:rsidR="00A72EEA" w:rsidRDefault="00A72EEA" w:rsidP="00A72E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007" w:rsidRDefault="005B6007" w:rsidP="005B60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5. Ресурсное обеспечение </w:t>
      </w:r>
      <w:r w:rsidR="00A72EEA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</w:t>
      </w:r>
      <w:r w:rsidR="00A72EEA">
        <w:rPr>
          <w:rFonts w:ascii="Times New Roman" w:hAnsi="Times New Roman" w:cs="Times New Roman"/>
          <w:sz w:val="28"/>
          <w:szCs w:val="28"/>
        </w:rPr>
        <w:t>.</w:t>
      </w:r>
    </w:p>
    <w:p w:rsidR="005B6007" w:rsidRDefault="005B6007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подпрограммы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133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EEA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72EEA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1E5CFD">
        <w:rPr>
          <w:rFonts w:ascii="Times New Roman" w:hAnsi="Times New Roman" w:cs="Times New Roman"/>
          <w:sz w:val="28"/>
          <w:szCs w:val="28"/>
        </w:rPr>
        <w:t xml:space="preserve"> 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651F50" w:rsidRDefault="00651F50"/>
    <w:sectPr w:rsidR="00651F50" w:rsidSect="00611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6007"/>
    <w:rsid w:val="00133B11"/>
    <w:rsid w:val="00134B3C"/>
    <w:rsid w:val="00240379"/>
    <w:rsid w:val="0030398F"/>
    <w:rsid w:val="003450A6"/>
    <w:rsid w:val="0051438D"/>
    <w:rsid w:val="00580BB3"/>
    <w:rsid w:val="005B6007"/>
    <w:rsid w:val="005C514A"/>
    <w:rsid w:val="005E30A2"/>
    <w:rsid w:val="00601DCD"/>
    <w:rsid w:val="0061108C"/>
    <w:rsid w:val="00651F50"/>
    <w:rsid w:val="006D05AE"/>
    <w:rsid w:val="00863D79"/>
    <w:rsid w:val="00947AED"/>
    <w:rsid w:val="00A34CD8"/>
    <w:rsid w:val="00A72EEA"/>
    <w:rsid w:val="00AF7C2C"/>
    <w:rsid w:val="00BF13BD"/>
    <w:rsid w:val="00D851DC"/>
    <w:rsid w:val="00E501F2"/>
    <w:rsid w:val="00E568BA"/>
    <w:rsid w:val="00E921EC"/>
    <w:rsid w:val="00ED7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5B600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B600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6">
    <w:name w:val="Содержимое таблицы"/>
    <w:basedOn w:val="a"/>
    <w:rsid w:val="005B6007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5B600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B600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6">
    <w:name w:val="Содержимое таблицы"/>
    <w:basedOn w:val="a"/>
    <w:rsid w:val="005B6007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</cp:lastModifiedBy>
  <cp:revision>17</cp:revision>
  <dcterms:created xsi:type="dcterms:W3CDTF">2013-11-01T12:19:00Z</dcterms:created>
  <dcterms:modified xsi:type="dcterms:W3CDTF">2014-10-01T18:02:00Z</dcterms:modified>
</cp:coreProperties>
</file>